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Ортодонтия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29.08.2026, 04:06 МСК · База обновлена: 01.08.2026, 04:29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Ортодонтия</w:t>
      </w:r>
    </w:p>
    <w:p>
      <w:pPr>
        <w:pStyle w:val="Heading2"/>
      </w:pPr>
      <w:r>
        <w:t>1. УСЛОВИЕ СИТУАЦИОННОЙ ЗАДАЧИ</w:t>
      </w:r>
    </w:p>
    <w:p>
      <w:pPr>
        <w:pStyle w:val="Heading3"/>
      </w:pPr>
      <w:r>
        <w:t>1.1. Ситуация</w:t>
      </w:r>
    </w:p>
    <w:p>
      <w:pPr>
        <w:spacing w:after="58"/>
      </w:pPr>
      <w:r>
        <w:rPr>
          <w:b w:val="0"/>
          <w:i w:val="0"/>
        </w:rPr>
        <w:t>Пациентка Е. 33 лет пришла на консультацию к стоматологу-ортодонту.</w:t>
      </w:r>
    </w:p>
    <w:p>
      <w:pPr>
        <w:pStyle w:val="Heading3"/>
      </w:pPr>
      <w:r>
        <w:t>1.2. Жалобы</w:t>
      </w:r>
    </w:p>
    <w:p>
      <w:pPr>
        <w:spacing w:after="58"/>
      </w:pPr>
      <w:r>
        <w:rPr>
          <w:b w:val="0"/>
          <w:i w:val="0"/>
        </w:rPr>
        <w:t>на</w:t>
      </w:r>
    </w:p>
    <w:p>
      <w:pPr>
        <w:spacing w:after="58"/>
      </w:pPr>
      <w:r>
        <w:rPr>
          <w:b w:val="0"/>
          <w:i w:val="0"/>
        </w:rPr>
        <w:t>* боли и щелчки в области височно-нижнечелюстного сустава слева.</w:t>
      </w:r>
    </w:p>
    <w:p>
      <w:pPr>
        <w:pStyle w:val="Heading3"/>
      </w:pPr>
      <w:r>
        <w:t>1.3. Анамнез заболевания</w:t>
      </w:r>
    </w:p>
    <w:p>
      <w:pPr>
        <w:spacing w:after="58"/>
      </w:pPr>
      <w:r>
        <w:rPr>
          <w:b w:val="0"/>
          <w:i w:val="0"/>
        </w:rPr>
        <w:t>* Пациентка отметила, что все зубы прорезывались позднее, чем у ее сверстников.</w:t>
      </w:r>
    </w:p>
    <w:p>
      <w:pPr>
        <w:pStyle w:val="Heading3"/>
      </w:pPr>
      <w:r>
        <w:t>1.4. Анамнез жизни</w:t>
      </w:r>
    </w:p>
    <w:p>
      <w:pPr>
        <w:spacing w:after="58"/>
      </w:pPr>
      <w:r>
        <w:rPr>
          <w:b w:val="0"/>
          <w:i w:val="0"/>
        </w:rPr>
        <w:t>* Вид вскармливания – искусственное с 5 месяцев.</w:t>
        <w:br/>
        <w:t>* Перенесла ветряную оспу.</w:t>
        <w:br/>
        <w:t>* Аллергия на некоторые пищевые продукты.</w:t>
        <w:br/>
        <w:t>* Остеохондроз шейного отдела, нарушение осанки.</w:t>
      </w:r>
    </w:p>
    <w:p>
      <w:pPr>
        <w:pStyle w:val="Heading3"/>
      </w:pPr>
      <w:r>
        <w:t>1.5. Объективный статус</w:t>
      </w:r>
    </w:p>
    <w:p>
      <w:pPr>
        <w:spacing w:after="58"/>
      </w:pPr>
      <w:r>
        <w:rPr>
          <w:b/>
          <w:i w:val="0"/>
        </w:rPr>
        <w:t>Осмотр лица:</w:t>
      </w:r>
      <w:r>
        <w:rPr>
          <w:b w:val="0"/>
          <w:i w:val="0"/>
        </w:rPr>
        <w:t xml:space="preserve"> лицо симметричное, пропорциональное. Профиль лица выпуклый. Мезиально-щечные бугры первых постоянных моляров верхней челюсти располагаются кпереди от поперечных фиссур первых постоянных моляров нижней челюсти. Кривая Шпее справа ниже, чем слева. Во фронтальном отделе верхние зубы перекрывают нижние на ½ высоты их коронок. Несовпадение косметического центра, смещение межрезцовой линии верхнего зубного ряда влево.</w:t>
      </w:r>
    </w:p>
    <w:p>
      <w:r>
        <w:drawing>
          <wp:inline xmlns:a="http://schemas.openxmlformats.org/drawingml/2006/main" xmlns:pic="http://schemas.openxmlformats.org/drawingml/2006/picture">
            <wp:extent cx="5303520" cy="8054970"/>
            <wp:docPr id="4" name="Picture 4"/>
            <wp:cNvGraphicFramePr>
              <a:graphicFrameLocks noChangeAspect="1"/>
            </wp:cNvGraphicFramePr>
            <a:graphic>
              <a:graphicData uri="http://schemas.openxmlformats.org/drawingml/2006/picture">
                <pic:pic>
                  <pic:nvPicPr>
                    <pic:cNvPr id="0" name="5151e7c39577303d0646d801a9d3695f48ff7638.jpg"/>
                    <pic:cNvPicPr/>
                  </pic:nvPicPr>
                  <pic:blipFill>
                    <a:blip r:embed="rId19"/>
                    <a:stretch>
                      <a:fillRect/>
                    </a:stretch>
                  </pic:blipFill>
                  <pic:spPr>
                    <a:xfrm>
                      <a:off x="0" y="0"/>
                      <a:ext cx="5303520" cy="8054970"/>
                    </a:xfrm>
                    <a:prstGeom prst="rect"/>
                  </pic:spPr>
                </pic:pic>
              </a:graphicData>
            </a:graphic>
          </wp:inline>
        </w:drawing>
      </w:r>
    </w:p>
    <w:p>
      <w:pPr>
        <w:jc w:val="center"/>
      </w:pPr>
      <w:r>
        <w:rPr>
          <w:i/>
        </w:rPr>
        <w:t>мержвинская_01.11_рис1.jpg</w:t>
      </w:r>
    </w:p>
    <w:p>
      <w:r>
        <w:drawing>
          <wp:inline xmlns:a="http://schemas.openxmlformats.org/drawingml/2006/main" xmlns:pic="http://schemas.openxmlformats.org/drawingml/2006/picture">
            <wp:extent cx="5303520" cy="5823756"/>
            <wp:docPr id="5" name="Picture 5"/>
            <wp:cNvGraphicFramePr>
              <a:graphicFrameLocks noChangeAspect="1"/>
            </wp:cNvGraphicFramePr>
            <a:graphic>
              <a:graphicData uri="http://schemas.openxmlformats.org/drawingml/2006/picture">
                <pic:pic>
                  <pic:nvPicPr>
                    <pic:cNvPr id="0" name="c04144a486e7d3507893d01b1feaec28fa65a534.jpg"/>
                    <pic:cNvPicPr/>
                  </pic:nvPicPr>
                  <pic:blipFill>
                    <a:blip r:embed="rId20"/>
                    <a:stretch>
                      <a:fillRect/>
                    </a:stretch>
                  </pic:blipFill>
                  <pic:spPr>
                    <a:xfrm>
                      <a:off x="0" y="0"/>
                      <a:ext cx="5303520" cy="5823756"/>
                    </a:xfrm>
                    <a:prstGeom prst="rect"/>
                  </pic:spPr>
                </pic:pic>
              </a:graphicData>
            </a:graphic>
          </wp:inline>
        </w:drawing>
      </w:r>
    </w:p>
    <w:p>
      <w:pPr>
        <w:jc w:val="center"/>
      </w:pPr>
      <w:r>
        <w:rPr>
          <w:i/>
        </w:rPr>
        <w:t>мержвинская_01.11_рис2.jpg</w:t>
      </w:r>
    </w:p>
    <w:p>
      <w:r>
        <w:drawing>
          <wp:inline xmlns:a="http://schemas.openxmlformats.org/drawingml/2006/main" xmlns:pic="http://schemas.openxmlformats.org/drawingml/2006/picture">
            <wp:extent cx="5303520" cy="3975427"/>
            <wp:docPr id="6" name="Picture 6"/>
            <wp:cNvGraphicFramePr>
              <a:graphicFrameLocks noChangeAspect="1"/>
            </wp:cNvGraphicFramePr>
            <a:graphic>
              <a:graphicData uri="http://schemas.openxmlformats.org/drawingml/2006/picture">
                <pic:pic>
                  <pic:nvPicPr>
                    <pic:cNvPr id="0" name="a524d2454ebfaafd3f5d12602dd3db94f2dc4673.jpg"/>
                    <pic:cNvPicPr/>
                  </pic:nvPicPr>
                  <pic:blipFill>
                    <a:blip r:embed="rId21"/>
                    <a:stretch>
                      <a:fillRect/>
                    </a:stretch>
                  </pic:blipFill>
                  <pic:spPr>
                    <a:xfrm>
                      <a:off x="0" y="0"/>
                      <a:ext cx="5303520" cy="3975427"/>
                    </a:xfrm>
                    <a:prstGeom prst="rect"/>
                  </pic:spPr>
                </pic:pic>
              </a:graphicData>
            </a:graphic>
          </wp:inline>
        </w:drawing>
      </w:r>
    </w:p>
    <w:p>
      <w:pPr>
        <w:jc w:val="center"/>
      </w:pPr>
      <w:r>
        <w:rPr>
          <w:i/>
        </w:rPr>
        <w:t>мержвинская_01.11_рис3.jpg</w:t>
      </w:r>
    </w:p>
    <w:p>
      <w:r>
        <w:drawing>
          <wp:inline xmlns:a="http://schemas.openxmlformats.org/drawingml/2006/main" xmlns:pic="http://schemas.openxmlformats.org/drawingml/2006/picture">
            <wp:extent cx="5303520" cy="5730027"/>
            <wp:docPr id="7" name="Picture 7"/>
            <wp:cNvGraphicFramePr>
              <a:graphicFrameLocks noChangeAspect="1"/>
            </wp:cNvGraphicFramePr>
            <a:graphic>
              <a:graphicData uri="http://schemas.openxmlformats.org/drawingml/2006/picture">
                <pic:pic>
                  <pic:nvPicPr>
                    <pic:cNvPr id="0" name="ceb574f8e2daed03bdc2668dc8a95bb2ee662b9e.jpg"/>
                    <pic:cNvPicPr/>
                  </pic:nvPicPr>
                  <pic:blipFill>
                    <a:blip r:embed="rId22"/>
                    <a:stretch>
                      <a:fillRect/>
                    </a:stretch>
                  </pic:blipFill>
                  <pic:spPr>
                    <a:xfrm>
                      <a:off x="0" y="0"/>
                      <a:ext cx="5303520" cy="5730027"/>
                    </a:xfrm>
                    <a:prstGeom prst="rect"/>
                  </pic:spPr>
                </pic:pic>
              </a:graphicData>
            </a:graphic>
          </wp:inline>
        </w:drawing>
      </w:r>
    </w:p>
    <w:p>
      <w:pPr>
        <w:jc w:val="center"/>
      </w:pPr>
      <w:r>
        <w:rPr>
          <w:i/>
        </w:rPr>
        <w:t>мержвинская_01.11_рис4.jpg</w:t>
      </w:r>
    </w:p>
    <w:p>
      <w:r>
        <w:drawing>
          <wp:inline xmlns:a="http://schemas.openxmlformats.org/drawingml/2006/main" xmlns:pic="http://schemas.openxmlformats.org/drawingml/2006/picture">
            <wp:extent cx="5303520" cy="4779335"/>
            <wp:docPr id="8" name="Picture 8"/>
            <wp:cNvGraphicFramePr>
              <a:graphicFrameLocks noChangeAspect="1"/>
            </wp:cNvGraphicFramePr>
            <a:graphic>
              <a:graphicData uri="http://schemas.openxmlformats.org/drawingml/2006/picture">
                <pic:pic>
                  <pic:nvPicPr>
                    <pic:cNvPr id="0" name="1cf1d9dbf024db9296562ac82dba1ea273d8a02d.jpg"/>
                    <pic:cNvPicPr/>
                  </pic:nvPicPr>
                  <pic:blipFill>
                    <a:blip r:embed="rId23"/>
                    <a:stretch>
                      <a:fillRect/>
                    </a:stretch>
                  </pic:blipFill>
                  <pic:spPr>
                    <a:xfrm>
                      <a:off x="0" y="0"/>
                      <a:ext cx="5303520" cy="4779335"/>
                    </a:xfrm>
                    <a:prstGeom prst="rect"/>
                  </pic:spPr>
                </pic:pic>
              </a:graphicData>
            </a:graphic>
          </wp:inline>
        </w:drawing>
      </w:r>
    </w:p>
    <w:p>
      <w:pPr>
        <w:jc w:val="center"/>
      </w:pPr>
      <w:r>
        <w:rPr>
          <w:i/>
        </w:rPr>
        <w:t>мержвинская_01.11_рис5.jpg</w:t>
      </w:r>
    </w:p>
    <w:p>
      <w:r>
        <w:drawing>
          <wp:inline xmlns:a="http://schemas.openxmlformats.org/drawingml/2006/main" xmlns:pic="http://schemas.openxmlformats.org/drawingml/2006/picture">
            <wp:extent cx="5303520" cy="5939942"/>
            <wp:docPr id="9" name="Picture 9"/>
            <wp:cNvGraphicFramePr>
              <a:graphicFrameLocks noChangeAspect="1"/>
            </wp:cNvGraphicFramePr>
            <a:graphic>
              <a:graphicData uri="http://schemas.openxmlformats.org/drawingml/2006/picture">
                <pic:pic>
                  <pic:nvPicPr>
                    <pic:cNvPr id="0" name="57f66d5b97db20178462d66a9fb2dbfb20ed9d47.jpg"/>
                    <pic:cNvPicPr/>
                  </pic:nvPicPr>
                  <pic:blipFill>
                    <a:blip r:embed="rId24"/>
                    <a:stretch>
                      <a:fillRect/>
                    </a:stretch>
                  </pic:blipFill>
                  <pic:spPr>
                    <a:xfrm>
                      <a:off x="0" y="0"/>
                      <a:ext cx="5303520" cy="5939942"/>
                    </a:xfrm>
                    <a:prstGeom prst="rect"/>
                  </pic:spPr>
                </pic:pic>
              </a:graphicData>
            </a:graphic>
          </wp:inline>
        </w:drawing>
      </w:r>
    </w:p>
    <w:p>
      <w:pPr>
        <w:jc w:val="center"/>
      </w:pPr>
      <w:r>
        <w:rPr>
          <w:i/>
        </w:rPr>
        <w:t>мержвинская_01.11_рис6.jpg</w:t>
      </w:r>
    </w:p>
    <w:p>
      <w:pPr>
        <w:pStyle w:val="Heading2"/>
      </w:pPr>
      <w:r>
        <w:t>1. План обследования</w:t>
      </w:r>
    </w:p>
    <w:p>
      <w:pPr>
        <w:pStyle w:val="Heading3"/>
        <w:keepNext/>
      </w:pPr>
      <w:r>
        <w:rPr>
          <w:b/>
          <w:color w:val="173C49"/>
        </w:rPr>
        <w:t>Вопрос 1.</w:t>
      </w:r>
    </w:p>
    <w:p>
      <w:pPr>
        <w:keepNext/>
      </w:pPr>
      <w:r>
        <w:rPr>
          <w:b w:val="0"/>
          <w:i w:val="0"/>
        </w:rPr>
        <w:t>С учетом жалоб пациентке показан функциональный метод диагностики</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кинезиография</w:t>
      </w:r>
    </w:p>
    <w:p>
      <w:pPr>
        <w:tabs>
          <w:tab w:pos="490" w:val="left"/>
        </w:tabs>
        <w:spacing w:after="60"/>
        <w:ind w:left="490" w:hanging="490"/>
      </w:pPr>
      <w:r>
        <w:rPr>
          <w:b/>
        </w:rPr>
        <w:t>2.</w:t>
      </w:r>
      <w:r>
        <w:tab/>
      </w:r>
      <w:r>
        <w:rPr>
          <w:b w:val="0"/>
          <w:i w:val="0"/>
        </w:rPr>
        <w:t>периотестометрия</w:t>
      </w:r>
    </w:p>
    <w:p>
      <w:pPr>
        <w:tabs>
          <w:tab w:pos="490" w:val="left"/>
        </w:tabs>
        <w:spacing w:after="60"/>
        <w:ind w:left="490" w:hanging="490"/>
      </w:pPr>
      <w:r>
        <w:rPr>
          <w:b/>
        </w:rPr>
        <w:t>3.</w:t>
      </w:r>
      <w:r>
        <w:tab/>
      </w:r>
      <w:r>
        <w:rPr>
          <w:b w:val="0"/>
          <w:i w:val="0"/>
        </w:rPr>
        <w:t>по Фоллю</w:t>
      </w:r>
    </w:p>
    <w:p>
      <w:pPr>
        <w:tabs>
          <w:tab w:pos="490" w:val="left"/>
        </w:tabs>
        <w:spacing w:after="60"/>
        <w:ind w:left="490" w:hanging="490"/>
      </w:pPr>
      <w:r>
        <w:rPr>
          <w:b/>
        </w:rPr>
        <w:t>4.</w:t>
      </w:r>
      <w:r>
        <w:tab/>
      </w:r>
      <w:r>
        <w:rPr>
          <w:b w:val="0"/>
          <w:i w:val="0"/>
        </w:rPr>
        <w:t>риноманометрия</w:t>
      </w:r>
    </w:p>
    <w:p>
      <w:pPr>
        <w:ind w:left="288"/>
      </w:pPr>
      <w:r>
        <w:rPr>
          <w:b/>
          <w:color w:val="173C49"/>
        </w:rPr>
        <w:t>Правильный ответ:</w:t>
      </w:r>
      <w:r>
        <w:br/>
      </w:r>
      <w:r>
        <w:rPr>
          <w:b/>
          <w:i w:val="0"/>
        </w:rPr>
        <w:t>1 - кинезиография</w:t>
      </w:r>
    </w:p>
    <w:p>
      <w:pPr>
        <w:spacing w:after="58"/>
      </w:pPr>
      <w:r>
        <w:rPr>
          <w:b w:val="0"/>
          <w:i w:val="0"/>
        </w:rPr>
        <w:t>Кинезиография - это предоставление информации о разнообразных движениях в графической и цифровой форме. С помощью аппарата регистрируются и анализируются данные о морфофункциональном состоянии зубочелюстной и опорно-двигательной системы на базе движений нижней челюсти в трех плоскостях.</w:t>
      </w:r>
    </w:p>
    <w:p>
      <w:pPr>
        <w:spacing w:after="58"/>
      </w:pPr>
      <w:r>
        <w:rPr>
          <w:b w:val="0"/>
          <w:i w:val="0"/>
        </w:rPr>
        <w:t>Ортодонтия. Диагностика и лечение зубочелюстно-лицевых аномалий и деформаций : учебник / Л. С. Персин и др. - Москва : ГЭОТАР-Медиа, 2015. - 640 с. - ISBN 978-5-9704-3227-3</w:t>
      </w:r>
    </w:p>
    <w:p>
      <w:pPr>
        <w:spacing w:after="58"/>
      </w:pPr>
      <w:hyperlink r:id="rId26">
        <w:r>
          <w:rPr>
            <w:color w:val="173C49"/>
            <w:u w:val="single"/>
          </w:rPr>
          <w:t xml:space="preserve">(1)</w:t>
        </w:r>
      </w:hyperlink>
    </w:p>
    <w:p>
      <w:pPr>
        <w:pStyle w:val="Heading3"/>
        <w:keepNext/>
      </w:pPr>
      <w:r>
        <w:rPr>
          <w:b/>
          <w:color w:val="173C49"/>
        </w:rPr>
        <w:t>Вопрос 2.</w:t>
      </w:r>
    </w:p>
    <w:p>
      <w:pPr>
        <w:keepNext/>
      </w:pPr>
      <w:r>
        <w:rPr>
          <w:b w:val="0"/>
          <w:i w:val="0"/>
        </w:rPr>
        <w:t>Третья проба Ильиной-Маркосян позволяет определить</w:t>
      </w:r>
    </w:p>
    <w:p>
      <w:pPr>
        <w:tabs>
          <w:tab w:pos="490" w:val="left"/>
        </w:tabs>
        <w:spacing w:after="60"/>
        <w:ind w:left="490" w:hanging="490"/>
      </w:pPr>
      <w:r>
        <w:rPr>
          <w:b/>
        </w:rPr>
        <w:t>1.</w:t>
      </w:r>
      <w:r>
        <w:tab/>
      </w:r>
      <w:r>
        <w:rPr>
          <w:b w:val="0"/>
          <w:i w:val="0"/>
        </w:rPr>
        <w:t>наличие суперконтактов</w:t>
      </w:r>
    </w:p>
    <w:p>
      <w:pPr>
        <w:tabs>
          <w:tab w:pos="490" w:val="left"/>
        </w:tabs>
        <w:spacing w:after="60"/>
        <w:ind w:left="490" w:hanging="490"/>
      </w:pPr>
      <w:r>
        <w:rPr>
          <w:b/>
        </w:rPr>
        <w:t>2.</w:t>
      </w:r>
      <w:r>
        <w:tab/>
      </w:r>
      <w:r>
        <w:rPr>
          <w:b w:val="0"/>
          <w:i w:val="0"/>
        </w:rPr>
        <w:t>положение нижней челюсти при ее физиологическом покое</w:t>
      </w:r>
    </w:p>
    <w:p>
      <w:pPr>
        <w:tabs>
          <w:tab w:pos="490" w:val="left"/>
        </w:tabs>
        <w:spacing w:after="60"/>
        <w:ind w:left="490" w:hanging="490"/>
      </w:pPr>
      <w:r>
        <w:rPr>
          <w:b/>
        </w:rPr>
        <w:t>3.</w:t>
      </w:r>
      <w:r>
        <w:tab/>
      </w:r>
      <w:r>
        <w:rPr>
          <w:b w:val="0"/>
          <w:i w:val="0"/>
        </w:rPr>
        <w:t>смещение нижней челюсти кзади</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экскурсию нижней челюсти и конфигурацию ее движений</w:t>
      </w:r>
    </w:p>
    <w:p>
      <w:pPr>
        <w:ind w:left="288"/>
      </w:pPr>
      <w:r>
        <w:rPr>
          <w:b/>
          <w:color w:val="173C49"/>
        </w:rPr>
        <w:t>Правильный ответ:</w:t>
      </w:r>
      <w:r>
        <w:br/>
      </w:r>
      <w:r>
        <w:rPr>
          <w:b/>
          <w:i w:val="0"/>
        </w:rPr>
        <w:t>4 - экскурсию нижней челюсти и конфигурацию ее движений</w:t>
      </w:r>
    </w:p>
    <w:p>
      <w:pPr>
        <w:spacing w:after="58"/>
      </w:pPr>
      <w:r>
        <w:rPr>
          <w:b w:val="0"/>
          <w:i w:val="0"/>
        </w:rPr>
        <w:t>Третья проба - опускание нижней челюсти, ее поднимание с последующим смыканием зубных рядов. С помощью этой пробы можно определить экскурсию нижней челюсти и конфигурацию ее движений. При нормальном смыкании зубных рядов проекция средней линии совпадает и при опускании нижней челюсти. Несовпадение средней линии при опускании нижней челюсти более выражено в случае нарушения функции ВНЧС и мышц челюстно-лицевой области</w:t>
      </w:r>
    </w:p>
    <w:p>
      <w:pPr>
        <w:spacing w:after="58"/>
      </w:pPr>
      <w:r>
        <w:rPr>
          <w:b w:val="0"/>
          <w:i w:val="0"/>
        </w:rP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r>
    </w:p>
    <w:p>
      <w:pPr>
        <w:spacing w:after="58"/>
      </w:pPr>
      <w:hyperlink r:id="rId28">
        <w:r>
          <w:rPr>
            <w:color w:val="173C49"/>
            <w:u w:val="single"/>
          </w:rPr>
          <w:t xml:space="preserve">(1)</w:t>
        </w:r>
      </w:hyperlink>
    </w:p>
    <w:p>
      <w:pPr>
        <w:pStyle w:val="Heading3"/>
        <w:keepNext/>
      </w:pPr>
      <w:r>
        <w:rPr>
          <w:b/>
          <w:color w:val="173C49"/>
        </w:rPr>
        <w:t>Вопрос 3.</w:t>
      </w:r>
    </w:p>
    <w:p>
      <w:pPr>
        <w:keepNext/>
      </w:pPr>
      <w:r>
        <w:rPr>
          <w:b w:val="0"/>
          <w:i w:val="0"/>
        </w:rPr>
        <w:t>С целью оценки морфометрических параметров челюстно-лицевой области пациентка направляется в рентгенологическое отделение для выполнения</w:t>
      </w:r>
    </w:p>
    <w:p>
      <w:pPr>
        <w:tabs>
          <w:tab w:pos="490" w:val="left"/>
        </w:tabs>
        <w:spacing w:after="60"/>
        <w:ind w:left="490" w:hanging="490"/>
      </w:pPr>
      <w:r>
        <w:rPr>
          <w:b/>
        </w:rPr>
        <w:t>1.</w:t>
      </w:r>
      <w:r>
        <w:tab/>
      </w:r>
      <w:r>
        <w:rPr>
          <w:b w:val="0"/>
          <w:i w:val="0"/>
        </w:rPr>
        <w:t>кинезиографии</w:t>
      </w:r>
    </w:p>
    <w:p>
      <w:pPr>
        <w:tabs>
          <w:tab w:pos="490" w:val="left"/>
        </w:tabs>
        <w:spacing w:after="60"/>
        <w:ind w:left="490" w:hanging="490"/>
      </w:pPr>
      <w:r>
        <w:rPr>
          <w:b/>
        </w:rPr>
        <w:t>2.</w:t>
      </w:r>
      <w:r>
        <w:tab/>
      </w:r>
      <w:r>
        <w:rPr>
          <w:b w:val="0"/>
          <w:i w:val="0"/>
        </w:rPr>
        <w:t>аксиографии</w:t>
      </w:r>
    </w:p>
    <w:p>
      <w:pPr>
        <w:tabs>
          <w:tab w:pos="490" w:val="left"/>
        </w:tabs>
        <w:spacing w:after="60"/>
        <w:ind w:left="490" w:hanging="490"/>
      </w:pPr>
      <w:r>
        <w:rPr>
          <w:b/>
        </w:rPr>
        <w:t>3.</w:t>
      </w:r>
      <w:r>
        <w:tab/>
      </w:r>
      <w:r>
        <w:rPr>
          <w:b w:val="0"/>
          <w:i w:val="0"/>
        </w:rPr>
        <w:t>миотонометрии</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телерентгенографии головы в боковой проекции</w:t>
      </w:r>
    </w:p>
    <w:p>
      <w:pPr>
        <w:ind w:left="288"/>
      </w:pPr>
      <w:r>
        <w:rPr>
          <w:b/>
          <w:color w:val="173C49"/>
        </w:rPr>
        <w:t>Правильный ответ:</w:t>
      </w:r>
      <w:r>
        <w:br/>
      </w:r>
      <w:r>
        <w:rPr>
          <w:b/>
          <w:i w:val="0"/>
        </w:rPr>
        <w:t>4 - телерентгенографии головы в боковой проекции</w:t>
      </w:r>
    </w:p>
    <w:p>
      <w:pPr>
        <w:spacing w:after="58"/>
      </w:pPr>
      <w:r>
        <w:rPr>
          <w:b w:val="0"/>
          <w:i w:val="0"/>
        </w:rPr>
        <w:t>Телерентгенограмма головы в боковой проекции позволит провести цефалометрический анализ челюстно-лицевой области. В частности, инклинацию резцов, взаимоотношение челюстей, вертикальные изменения.</w:t>
      </w:r>
    </w:p>
    <w:p>
      <w:pPr>
        <w:spacing w:after="58"/>
      </w:pPr>
      <w:r>
        <w:rPr>
          <w:b w:val="0"/>
          <w:i w:val="0"/>
        </w:rP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r>
    </w:p>
    <w:p>
      <w:pPr>
        <w:spacing w:after="58"/>
      </w:pPr>
      <w:hyperlink r:id="rId29">
        <w:r>
          <w:rPr>
            <w:color w:val="173C49"/>
            <w:u w:val="single"/>
          </w:rPr>
          <w:t xml:space="preserve">(1)</w:t>
        </w:r>
      </w:hyperlink>
    </w:p>
    <w:p>
      <w:pPr>
        <w:pStyle w:val="Heading3"/>
        <w:keepNext/>
      </w:pPr>
      <w:r>
        <w:rPr>
          <w:b/>
          <w:color w:val="173C49"/>
        </w:rPr>
        <w:t>Вопрос 4.</w:t>
      </w:r>
    </w:p>
    <w:p>
      <w:pPr>
        <w:keepNext/>
      </w:pPr>
      <w:r>
        <w:rPr>
          <w:b w:val="0"/>
          <w:i w:val="0"/>
        </w:rPr>
        <w:t>Исследованием, позволяющим оценить положение внутрисуставного диска, является</w:t>
      </w:r>
    </w:p>
    <w:p>
      <w:pPr>
        <w:tabs>
          <w:tab w:pos="490" w:val="left"/>
        </w:tabs>
        <w:spacing w:after="60"/>
        <w:ind w:left="490" w:hanging="490"/>
      </w:pPr>
      <w:r>
        <w:rPr>
          <w:b/>
        </w:rPr>
        <w:t>1.</w:t>
      </w:r>
      <w:r>
        <w:tab/>
      </w:r>
      <w:r>
        <w:rPr>
          <w:b w:val="0"/>
          <w:i w:val="0"/>
        </w:rPr>
        <w:t>артрофонография</w:t>
      </w:r>
    </w:p>
    <w:p>
      <w:pPr>
        <w:tabs>
          <w:tab w:pos="490" w:val="left"/>
        </w:tabs>
        <w:spacing w:after="60"/>
        <w:ind w:left="490" w:hanging="490"/>
      </w:pPr>
      <w:r>
        <w:rPr>
          <w:b/>
        </w:rPr>
        <w:t>2.</w:t>
      </w:r>
      <w:r>
        <w:tab/>
      </w:r>
      <w:r>
        <w:rPr>
          <w:b w:val="0"/>
          <w:i w:val="0"/>
        </w:rPr>
        <w:t>реография</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0"/>
                    <a:stretch>
                      <a:fillRect/>
                    </a:stretch>
                  </pic:blipFill>
                  <pic:spPr>
                    <a:xfrm>
                      <a:off x="0" y="0"/>
                      <a:ext cx="214884" cy="214884"/>
                    </a:xfrm>
                    <a:prstGeom prst="rect"/>
                  </pic:spPr>
                </pic:pic>
              </a:graphicData>
            </a:graphic>
          </wp:inline>
        </w:drawing>
      </w:r>
      <w:r>
        <w:tab/>
      </w:r>
      <w:r>
        <w:rPr>
          <w:b w:val="0"/>
          <w:i w:val="0"/>
        </w:rPr>
        <w:t>магнитно-резонансная томография</w:t>
      </w:r>
    </w:p>
    <w:p>
      <w:pPr>
        <w:tabs>
          <w:tab w:pos="490" w:val="left"/>
        </w:tabs>
        <w:spacing w:after="60"/>
        <w:ind w:left="490" w:hanging="490"/>
      </w:pPr>
      <w:r>
        <w:rPr>
          <w:b/>
        </w:rPr>
        <w:t>4.</w:t>
      </w:r>
      <w:r>
        <w:tab/>
      </w:r>
      <w:r>
        <w:rPr>
          <w:b w:val="0"/>
          <w:i w:val="0"/>
        </w:rPr>
        <w:t>аксиография</w:t>
      </w:r>
    </w:p>
    <w:p>
      <w:pPr>
        <w:ind w:left="288"/>
      </w:pPr>
      <w:r>
        <w:rPr>
          <w:b/>
          <w:color w:val="173C49"/>
        </w:rPr>
        <w:t>Правильный ответ:</w:t>
      </w:r>
      <w:r>
        <w:br/>
      </w:r>
      <w:r>
        <w:rPr>
          <w:b/>
          <w:i w:val="0"/>
        </w:rPr>
        <w:t>3 - магнитно-резонансная томография</w:t>
      </w:r>
    </w:p>
    <w:p>
      <w:pPr>
        <w:spacing w:after="58"/>
      </w:pPr>
      <w:r>
        <w:rPr>
          <w:b w:val="0"/>
          <w:i w:val="0"/>
        </w:rPr>
        <w:t>Главным преимуществом магнитно-резонансной томографии перед другими методами лучевой диагностики общепризнана возможность визуализации внутрисуставного диска в условиях естественной контрастности без применения ионизирующего облучения.</w:t>
      </w:r>
    </w:p>
    <w:p>
      <w:pPr>
        <w:spacing w:after="58"/>
      </w:pPr>
      <w:r>
        <w:rPr>
          <w:b w:val="0"/>
          <w:i w:val="0"/>
        </w:rP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r>
    </w:p>
    <w:p>
      <w:pPr>
        <w:spacing w:after="58"/>
      </w:pPr>
      <w:hyperlink r:id="rId31">
        <w:r>
          <w:rPr>
            <w:color w:val="173C49"/>
            <w:u w:val="single"/>
          </w:rPr>
          <w:t xml:space="preserve">(1)</w:t>
        </w:r>
      </w:hyperlink>
    </w:p>
    <w:p>
      <w:pPr>
        <w:pStyle w:val="Heading2"/>
      </w:pPr>
      <w:r>
        <w:t>2. Диагноз</w:t>
      </w:r>
    </w:p>
    <w:p>
      <w:pPr>
        <w:pStyle w:val="Heading3"/>
        <w:keepNext/>
      </w:pPr>
      <w:r>
        <w:rPr>
          <w:b/>
          <w:color w:val="173C49"/>
        </w:rPr>
        <w:t>Вопрос 5.</w:t>
      </w:r>
    </w:p>
    <w:p>
      <w:pPr>
        <w:keepNext/>
      </w:pPr>
      <w:r>
        <w:rPr>
          <w:b w:val="0"/>
          <w:i w:val="0"/>
        </w:rPr>
        <w:t>Возможной причиной развития данной аномалии является</w:t>
      </w:r>
    </w:p>
    <w:p>
      <w:pPr>
        <w:tabs>
          <w:tab w:pos="490" w:val="left"/>
        </w:tabs>
        <w:spacing w:after="60"/>
        <w:ind w:left="490" w:hanging="490"/>
      </w:pPr>
      <w:r>
        <w:rPr>
          <w:b/>
        </w:rPr>
        <w:t>1.</w:t>
      </w:r>
      <w:r>
        <w:tab/>
      </w:r>
      <w:r>
        <w:rPr>
          <w:b w:val="0"/>
          <w:i w:val="0"/>
        </w:rPr>
        <w:t>ветряная оспа</w:t>
      </w:r>
    </w:p>
    <w:p>
      <w:pPr>
        <w:tabs>
          <w:tab w:pos="490" w:val="left"/>
        </w:tabs>
        <w:spacing w:after="60"/>
        <w:ind w:left="490" w:hanging="490"/>
      </w:pPr>
      <w:r>
        <w:rPr>
          <w:b/>
        </w:rPr>
        <w:t>2.</w:t>
      </w:r>
      <w:r>
        <w:tab/>
      </w:r>
      <w:r>
        <w:rPr>
          <w:b w:val="0"/>
          <w:i w:val="0"/>
        </w:rPr>
        <w:t>искусственное вскармливание</w:t>
      </w:r>
    </w:p>
    <w:p>
      <w:pPr>
        <w:tabs>
          <w:tab w:pos="490" w:val="left"/>
        </w:tabs>
        <w:spacing w:after="60"/>
        <w:ind w:left="490" w:hanging="490"/>
      </w:pPr>
      <w:r>
        <w:rPr>
          <w:b/>
        </w:rPr>
        <w:t>3.</w:t>
      </w:r>
      <w:r>
        <w:tab/>
      </w:r>
      <w:r>
        <w:rPr>
          <w:b w:val="0"/>
          <w:i w:val="0"/>
        </w:rPr>
        <w:t>позднее прорезывание всех зубов</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нарушение осанки</w:t>
      </w:r>
    </w:p>
    <w:p>
      <w:pPr>
        <w:ind w:left="288"/>
      </w:pPr>
      <w:r>
        <w:rPr>
          <w:b/>
          <w:color w:val="173C49"/>
        </w:rPr>
        <w:t>Правильный ответ:</w:t>
      </w:r>
      <w:r>
        <w:br/>
      </w:r>
      <w:r>
        <w:rPr>
          <w:b/>
          <w:i w:val="0"/>
        </w:rPr>
        <w:t>4 - нарушение осанки</w:t>
      </w:r>
    </w:p>
    <w:p>
      <w:pPr>
        <w:spacing w:after="58"/>
      </w:pPr>
      <w:r>
        <w:rPr>
          <w:b w:val="0"/>
          <w:i w:val="0"/>
        </w:rPr>
        <w:t>Нарушение осанки и положения тела оказывают влияние на размеры, положение и направление роста челюстей, а также наклон зубов, зубоальвеолярные высоты и сагиттальную щель</w:t>
      </w:r>
    </w:p>
    <w:p>
      <w:pPr>
        <w:spacing w:after="58"/>
      </w:pPr>
      <w:r>
        <w:rPr>
          <w:b w:val="0"/>
          <w:i w:val="0"/>
        </w:rP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r>
    </w:p>
    <w:p>
      <w:pPr>
        <w:spacing w:after="58"/>
      </w:pPr>
      <w:hyperlink r:id="rId32">
        <w:r>
          <w:rPr>
            <w:color w:val="173C49"/>
            <w:u w:val="single"/>
          </w:rPr>
          <w:t xml:space="preserve">(1)</w:t>
        </w:r>
      </w:hyperlink>
    </w:p>
    <w:p>
      <w:pPr>
        <w:pStyle w:val="Heading3"/>
        <w:keepNext/>
      </w:pPr>
      <w:r>
        <w:rPr>
          <w:b/>
          <w:color w:val="173C49"/>
        </w:rPr>
        <w:t>Вопрос 6.</w:t>
      </w:r>
    </w:p>
    <w:p>
      <w:pPr>
        <w:keepNext/>
      </w:pPr>
      <w:r>
        <w:rPr>
          <w:b w:val="0"/>
          <w:i w:val="0"/>
        </w:rPr>
        <w:t>Предварительным диагнозом в данном случае является</w:t>
      </w:r>
    </w:p>
    <w:p>
      <w:pPr>
        <w:tabs>
          <w:tab w:pos="490" w:val="left"/>
        </w:tabs>
        <w:spacing w:after="60"/>
        <w:ind w:left="490" w:hanging="490"/>
      </w:pPr>
      <w:r>
        <w:rPr>
          <w:b/>
        </w:rPr>
        <w:t>1.</w:t>
      </w:r>
      <w:r>
        <w:tab/>
      </w:r>
      <w:r>
        <w:rPr>
          <w:b w:val="0"/>
          <w:i w:val="0"/>
        </w:rPr>
        <w:t>Мезиальная окклюзия</w:t>
      </w:r>
    </w:p>
    <w:p>
      <w:pPr>
        <w:tabs>
          <w:tab w:pos="490" w:val="left"/>
        </w:tabs>
        <w:spacing w:after="60"/>
        <w:ind w:left="490" w:hanging="490"/>
      </w:pPr>
      <w:r>
        <w:rPr>
          <w:b/>
        </w:rPr>
        <w:t>2.</w:t>
      </w:r>
      <w:r>
        <w:tab/>
      </w:r>
      <w:r>
        <w:rPr>
          <w:b w:val="0"/>
          <w:i w:val="0"/>
        </w:rPr>
        <w:t>Сагиттальная резцовая окклюзия</w:t>
      </w:r>
    </w:p>
    <w:p>
      <w:pPr>
        <w:tabs>
          <w:tab w:pos="490" w:val="left"/>
        </w:tabs>
        <w:spacing w:after="60"/>
        <w:ind w:left="490" w:hanging="490"/>
      </w:pPr>
      <w:r>
        <w:rPr>
          <w:b/>
        </w:rPr>
        <w:t>3.</w:t>
      </w:r>
      <w:r>
        <w:tab/>
      </w:r>
      <w:r>
        <w:rPr>
          <w:b w:val="0"/>
          <w:i w:val="0"/>
        </w:rPr>
        <w:t>Глубокая резцовая дизокклюзия</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Дистальная окклюзия</w:t>
      </w:r>
    </w:p>
    <w:p>
      <w:pPr>
        <w:ind w:left="288"/>
      </w:pPr>
      <w:r>
        <w:rPr>
          <w:b/>
          <w:color w:val="173C49"/>
        </w:rPr>
        <w:t>Правильный ответ:</w:t>
      </w:r>
      <w:r>
        <w:br/>
      </w:r>
      <w:r>
        <w:rPr>
          <w:b/>
          <w:i w:val="0"/>
        </w:rPr>
        <w:t>4 - Дистальная окклюзия</w:t>
      </w:r>
    </w:p>
    <w:p>
      <w:pPr>
        <w:spacing w:after="58"/>
      </w:pPr>
      <w:r>
        <w:rPr>
          <w:b w:val="0"/>
          <w:i w:val="0"/>
        </w:rPr>
        <w:t>Дистальная окклюзия зубных рядов диагностируется, когда нарушено их смыкание в боковых участках, а именно: верхний зубной ряд смещен вперед по отношению к нижнему или нижний зубной ряд смещен кзади по отношению к верхнему. При этой аномалии боковой сегмент верхнего зубного ряда располагается впереди такового сегмента нижнего зубного ряда.</w:t>
      </w:r>
    </w:p>
    <w:p>
      <w:pPr>
        <w:spacing w:after="58"/>
      </w:pPr>
      <w:r>
        <w:rPr>
          <w:b w:val="0"/>
          <w:i w:val="0"/>
        </w:rP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r>
    </w:p>
    <w:p>
      <w:pPr>
        <w:spacing w:after="58"/>
      </w:pPr>
      <w:hyperlink r:id="rId33">
        <w:r>
          <w:rPr>
            <w:color w:val="173C49"/>
            <w:u w:val="single"/>
          </w:rPr>
          <w:t xml:space="preserve">(1)</w:t>
        </w:r>
      </w:hyperlink>
    </w:p>
    <w:p>
      <w:pPr>
        <w:pStyle w:val="Heading3"/>
        <w:keepNext/>
      </w:pPr>
      <w:r>
        <w:rPr>
          <w:b/>
          <w:color w:val="173C49"/>
        </w:rPr>
        <w:t>Вопрос 7.</w:t>
      </w:r>
    </w:p>
    <w:p>
      <w:pPr>
        <w:keepNext/>
      </w:pPr>
      <w:r>
        <w:rPr>
          <w:b w:val="0"/>
          <w:i w:val="0"/>
        </w:rPr>
        <w:t>К данным анализа ТРГ головы в боковой проекции, указывающим на ретроположение нижней челюсти, относят значение угла</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SNB=77° и меньше</w:t>
      </w:r>
    </w:p>
    <w:p>
      <w:pPr>
        <w:tabs>
          <w:tab w:pos="490" w:val="left"/>
        </w:tabs>
        <w:spacing w:after="60"/>
        <w:ind w:left="490" w:hanging="490"/>
      </w:pPr>
      <w:r>
        <w:rPr>
          <w:b/>
        </w:rPr>
        <w:t>2.</w:t>
      </w:r>
      <w:r>
        <w:tab/>
      </w:r>
      <w:r>
        <w:rPr>
          <w:b w:val="0"/>
          <w:i w:val="0"/>
        </w:rPr>
        <w:t>основания нижней челюсти более 28°</w:t>
      </w:r>
    </w:p>
    <w:p>
      <w:pPr>
        <w:tabs>
          <w:tab w:pos="490" w:val="left"/>
        </w:tabs>
        <w:spacing w:after="60"/>
        <w:ind w:left="490" w:hanging="490"/>
      </w:pPr>
      <w:r>
        <w:rPr>
          <w:b/>
        </w:rPr>
        <w:t>3.</w:t>
      </w:r>
      <w:r>
        <w:tab/>
      </w:r>
      <w:r>
        <w:rPr>
          <w:b w:val="0"/>
          <w:i w:val="0"/>
        </w:rPr>
        <w:t>ANB более 4 мм</w:t>
      </w:r>
    </w:p>
    <w:p>
      <w:pPr>
        <w:tabs>
          <w:tab w:pos="490" w:val="left"/>
        </w:tabs>
        <w:spacing w:after="60"/>
        <w:ind w:left="490" w:hanging="490"/>
      </w:pPr>
      <w:r>
        <w:rPr>
          <w:b/>
        </w:rPr>
        <w:t>4.</w:t>
      </w:r>
      <w:r>
        <w:tab/>
      </w:r>
      <w:r>
        <w:rPr>
          <w:b w:val="0"/>
          <w:i w:val="0"/>
        </w:rPr>
        <w:t>SNA =82° и более</w:t>
      </w:r>
    </w:p>
    <w:p>
      <w:pPr>
        <w:ind w:left="288"/>
      </w:pPr>
      <w:r>
        <w:rPr>
          <w:b/>
          <w:color w:val="173C49"/>
        </w:rPr>
        <w:t>Правильный ответ:</w:t>
      </w:r>
      <w:r>
        <w:br/>
      </w:r>
      <w:r>
        <w:rPr>
          <w:b/>
          <w:i w:val="0"/>
        </w:rPr>
        <w:t>1 - SNB=77° и меньше</w:t>
      </w:r>
    </w:p>
    <w:p>
      <w:pPr>
        <w:spacing w:after="58"/>
      </w:pPr>
      <w:r>
        <w:rPr>
          <w:b w:val="0"/>
          <w:i w:val="0"/>
        </w:rPr>
        <w:t>Точка B – самая глубокая точка на передней поверхности апикального базиса нижней челюсти. NSL – линия основания черепа.</w:t>
      </w:r>
    </w:p>
    <w:p>
      <w:pPr>
        <w:spacing w:after="58"/>
      </w:pPr>
      <w:r>
        <w:rPr>
          <w:b w:val="0"/>
          <w:i w:val="0"/>
        </w:rPr>
        <w:t>Угол SNB: средний показатель - 80°; заднее положение нижней челюсти или микрогнатия - 77°; переднее положение нижней челюсти или макрогнатия - 86°</w:t>
      </w:r>
    </w:p>
    <w:p>
      <w:pPr>
        <w:spacing w:after="58"/>
      </w:pPr>
      <w:r>
        <w:rPr>
          <w:b w:val="0"/>
          <w:i w:val="0"/>
        </w:rP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r>
    </w:p>
    <w:p>
      <w:pPr>
        <w:spacing w:after="58"/>
      </w:pPr>
      <w:hyperlink r:id="rId34">
        <w:r>
          <w:rPr>
            <w:color w:val="173C49"/>
            <w:u w:val="single"/>
          </w:rPr>
          <w:t xml:space="preserve">(1)</w:t>
        </w:r>
      </w:hyperlink>
    </w:p>
    <w:p>
      <w:pPr>
        <w:pStyle w:val="Heading3"/>
        <w:keepNext/>
      </w:pPr>
      <w:r>
        <w:rPr>
          <w:b/>
          <w:color w:val="173C49"/>
        </w:rPr>
        <w:t>Вопрос 8.</w:t>
      </w:r>
    </w:p>
    <w:p>
      <w:pPr>
        <w:keepNext/>
      </w:pPr>
      <w:r>
        <w:rPr>
          <w:b w:val="0"/>
          <w:i w:val="0"/>
        </w:rPr>
        <w:t>Методом обследования, дающим объективную оценку состояния опорно-двигательного аппарата у пациента, является</w:t>
      </w:r>
    </w:p>
    <w:p>
      <w:pPr>
        <w:tabs>
          <w:tab w:pos="490" w:val="left"/>
        </w:tabs>
        <w:spacing w:after="60"/>
        <w:ind w:left="490" w:hanging="490"/>
      </w:pPr>
      <w:r>
        <w:rPr>
          <w:b/>
        </w:rPr>
        <w:t>1.</w:t>
      </w:r>
      <w:r>
        <w:tab/>
      </w:r>
      <w:r>
        <w:rPr>
          <w:b w:val="0"/>
          <w:i w:val="0"/>
        </w:rPr>
        <w:t>ТРГ головы в боковой проекции</w:t>
      </w:r>
    </w:p>
    <w:p>
      <w:pPr>
        <w:tabs>
          <w:tab w:pos="490" w:val="left"/>
        </w:tabs>
        <w:spacing w:after="60"/>
        <w:ind w:left="490" w:hanging="490"/>
      </w:pPr>
      <w:r>
        <w:rPr>
          <w:b/>
        </w:rPr>
        <w:t>2.</w:t>
      </w:r>
      <w:r>
        <w:tab/>
      </w:r>
      <w:r>
        <w:rPr>
          <w:b w:val="0"/>
          <w:i w:val="0"/>
        </w:rPr>
        <w:t>рентген кисти</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0"/>
                    <a:stretch>
                      <a:fillRect/>
                    </a:stretch>
                  </pic:blipFill>
                  <pic:spPr>
                    <a:xfrm>
                      <a:off x="0" y="0"/>
                      <a:ext cx="214884" cy="214884"/>
                    </a:xfrm>
                    <a:prstGeom prst="rect"/>
                  </pic:spPr>
                </pic:pic>
              </a:graphicData>
            </a:graphic>
          </wp:inline>
        </w:drawing>
      </w:r>
      <w:r>
        <w:tab/>
      </w:r>
      <w:r>
        <w:rPr>
          <w:b w:val="0"/>
          <w:i w:val="0"/>
        </w:rPr>
        <w:t>компьютерная-оптическая топография</w:t>
      </w:r>
    </w:p>
    <w:p>
      <w:pPr>
        <w:tabs>
          <w:tab w:pos="490" w:val="left"/>
        </w:tabs>
        <w:spacing w:after="60"/>
        <w:ind w:left="490" w:hanging="490"/>
      </w:pPr>
      <w:r>
        <w:rPr>
          <w:b/>
        </w:rPr>
        <w:t>4.</w:t>
      </w:r>
      <w:r>
        <w:tab/>
      </w:r>
      <w:r>
        <w:rPr>
          <w:b w:val="0"/>
          <w:i w:val="0"/>
        </w:rPr>
        <w:t>аксиография</w:t>
      </w:r>
    </w:p>
    <w:p>
      <w:pPr>
        <w:ind w:left="288"/>
      </w:pPr>
      <w:r>
        <w:rPr>
          <w:b/>
          <w:color w:val="173C49"/>
        </w:rPr>
        <w:t>Правильный ответ:</w:t>
      </w:r>
      <w:r>
        <w:br/>
      </w:r>
      <w:r>
        <w:rPr>
          <w:b/>
          <w:i w:val="0"/>
        </w:rPr>
        <w:t>3 - компьютерная-оптическая топография</w:t>
      </w:r>
    </w:p>
    <w:p>
      <w:pPr>
        <w:spacing w:after="58"/>
      </w:pPr>
      <w:r>
        <w:rPr>
          <w:b w:val="0"/>
          <w:i w:val="0"/>
        </w:rPr>
        <w:t>Компьютерное оптико-топографическое обследование деформаций позвоночника обеспечивает бесконтактное высокоточное определение формы дорсальной поверхности туловища. Это дает достоверную информацию как о состоянии позвоночника, так и о постуральных изменениях, происходящих у пациентов в ходе динамических наблюдений.</w:t>
      </w:r>
    </w:p>
    <w:p>
      <w:pPr>
        <w:spacing w:after="58"/>
      </w:pPr>
      <w:r>
        <w:rPr>
          <w:b w:val="0"/>
          <w:i w:val="0"/>
        </w:rPr>
        <w:t>Ортодонтия. Диагностика и лечение зубочелюстно-лицевых аномалий и деформаций : учебник / Л. С. Персин и др. - Москва : ГЭОТАР-Медиа, 2015. - 640 с. - ISBN 978-5-9704-3227-3</w:t>
      </w:r>
    </w:p>
    <w:p>
      <w:pPr>
        <w:spacing w:after="58"/>
      </w:pPr>
      <w:hyperlink r:id="rId35">
        <w:r>
          <w:rPr>
            <w:color w:val="173C49"/>
            <w:u w:val="single"/>
          </w:rPr>
          <w:t xml:space="preserve">(1)</w:t>
        </w:r>
      </w:hyperlink>
    </w:p>
    <w:p>
      <w:pPr>
        <w:pStyle w:val="Heading3"/>
        <w:keepNext/>
      </w:pPr>
      <w:r>
        <w:rPr>
          <w:b/>
          <w:color w:val="173C49"/>
        </w:rPr>
        <w:t>Вопрос 9.</w:t>
      </w:r>
    </w:p>
    <w:p>
      <w:pPr>
        <w:keepNext/>
      </w:pPr>
      <w:r>
        <w:rPr>
          <w:b w:val="0"/>
          <w:i w:val="0"/>
        </w:rPr>
        <w:t>Параметром на телерентгенограмме головы в боковой проекции, описывающим длину нижней челюсти,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Pg'-Go</w:t>
      </w:r>
    </w:p>
    <w:p>
      <w:pPr>
        <w:tabs>
          <w:tab w:pos="490" w:val="left"/>
        </w:tabs>
        <w:spacing w:after="60"/>
        <w:ind w:left="490" w:hanging="490"/>
      </w:pPr>
      <w:r>
        <w:rPr>
          <w:b/>
        </w:rPr>
        <w:t>2.</w:t>
      </w:r>
      <w:r>
        <w:tab/>
      </w:r>
      <w:r>
        <w:rPr>
          <w:b w:val="0"/>
          <w:i w:val="0"/>
        </w:rPr>
        <w:t>А’- Snp</w:t>
      </w:r>
    </w:p>
    <w:p>
      <w:pPr>
        <w:tabs>
          <w:tab w:pos="490" w:val="left"/>
        </w:tabs>
        <w:spacing w:after="60"/>
        <w:ind w:left="490" w:hanging="490"/>
      </w:pPr>
      <w:r>
        <w:rPr>
          <w:b/>
        </w:rPr>
        <w:t>3.</w:t>
      </w:r>
      <w:r>
        <w:tab/>
      </w:r>
      <w:r>
        <w:rPr>
          <w:b w:val="0"/>
          <w:i w:val="0"/>
        </w:rPr>
        <w:t>S-Go</w:t>
      </w:r>
    </w:p>
    <w:p>
      <w:pPr>
        <w:tabs>
          <w:tab w:pos="490" w:val="left"/>
        </w:tabs>
        <w:spacing w:after="60"/>
        <w:ind w:left="490" w:hanging="490"/>
      </w:pPr>
      <w:r>
        <w:rPr>
          <w:b/>
        </w:rPr>
        <w:t>4.</w:t>
      </w:r>
      <w:r>
        <w:tab/>
      </w:r>
      <w:r>
        <w:rPr>
          <w:b w:val="0"/>
          <w:i w:val="0"/>
        </w:rPr>
        <w:t>N-S</w:t>
      </w:r>
    </w:p>
    <w:p>
      <w:pPr>
        <w:ind w:left="288"/>
      </w:pPr>
      <w:r>
        <w:rPr>
          <w:b/>
          <w:color w:val="173C49"/>
        </w:rPr>
        <w:t>Правильный ответ:</w:t>
      </w:r>
      <w:r>
        <w:br/>
      </w:r>
      <w:r>
        <w:rPr>
          <w:b/>
          <w:i w:val="0"/>
        </w:rPr>
        <w:t>1 - Pg'-Go</w:t>
      </w:r>
    </w:p>
    <w:p>
      <w:pPr>
        <w:spacing w:after="58"/>
      </w:pPr>
      <w:r>
        <w:rPr>
          <w:b w:val="0"/>
          <w:i w:val="0"/>
        </w:rPr>
        <w:t>Длина тела нижней челюсти измеряется по плоскости МР от проекции точки Pg на МР до точки пересечения ее с касательной к ветви нижней челюсти</w:t>
      </w:r>
    </w:p>
    <w:p>
      <w:pPr>
        <w:spacing w:after="58"/>
      </w:pPr>
      <w:r>
        <w:rPr>
          <w:b w:val="0"/>
          <w:i w:val="0"/>
        </w:rP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r>
    </w:p>
    <w:p>
      <w:pPr>
        <w:spacing w:after="58"/>
      </w:pPr>
      <w:hyperlink r:id="rId36">
        <w:r>
          <w:rPr>
            <w:color w:val="173C49"/>
            <w:u w:val="single"/>
          </w:rPr>
          <w:t xml:space="preserve">(1)</w:t>
        </w:r>
      </w:hyperlink>
    </w:p>
    <w:p>
      <w:pPr>
        <w:pStyle w:val="Heading2"/>
      </w:pPr>
      <w:r>
        <w:t>3. Лечение</w:t>
      </w:r>
    </w:p>
    <w:p>
      <w:pPr>
        <w:pStyle w:val="Heading3"/>
        <w:keepNext/>
      </w:pPr>
      <w:r>
        <w:rPr>
          <w:b/>
          <w:color w:val="173C49"/>
        </w:rPr>
        <w:t>Вопрос 10.</w:t>
      </w:r>
    </w:p>
    <w:p>
      <w:pPr>
        <w:keepNext/>
      </w:pPr>
      <w:r>
        <w:rPr>
          <w:b w:val="0"/>
          <w:i w:val="0"/>
        </w:rPr>
        <w:t>Комплексное лечение необходимо осуществлять с врачом</w:t>
      </w:r>
    </w:p>
    <w:p>
      <w:pPr>
        <w:tabs>
          <w:tab w:pos="490" w:val="left"/>
        </w:tabs>
        <w:spacing w:after="60"/>
        <w:ind w:left="490" w:hanging="490"/>
      </w:pPr>
      <w:r>
        <w:rPr>
          <w:b/>
        </w:rPr>
        <w:t>1.</w:t>
      </w:r>
      <w:r>
        <w:tab/>
      </w:r>
      <w:r>
        <w:rPr>
          <w:b w:val="0"/>
          <w:i w:val="0"/>
        </w:rPr>
        <w:t>неонатологом</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7"/>
                    <a:stretch>
                      <a:fillRect/>
                    </a:stretch>
                  </pic:blipFill>
                  <pic:spPr>
                    <a:xfrm>
                      <a:off x="0" y="0"/>
                      <a:ext cx="214884" cy="214884"/>
                    </a:xfrm>
                    <a:prstGeom prst="rect"/>
                  </pic:spPr>
                </pic:pic>
              </a:graphicData>
            </a:graphic>
          </wp:inline>
        </w:drawing>
      </w:r>
      <w:r>
        <w:tab/>
      </w:r>
      <w:r>
        <w:rPr>
          <w:b w:val="0"/>
          <w:i w:val="0"/>
        </w:rPr>
        <w:t>постурологом</w:t>
      </w:r>
    </w:p>
    <w:p>
      <w:pPr>
        <w:tabs>
          <w:tab w:pos="490" w:val="left"/>
        </w:tabs>
        <w:spacing w:after="60"/>
        <w:ind w:left="490" w:hanging="490"/>
      </w:pPr>
      <w:r>
        <w:rPr>
          <w:b/>
        </w:rPr>
        <w:t>3.</w:t>
      </w:r>
      <w:r>
        <w:tab/>
      </w:r>
      <w:r>
        <w:rPr>
          <w:b w:val="0"/>
          <w:i w:val="0"/>
        </w:rPr>
        <w:t>стоматологом- хирургом</w:t>
      </w:r>
    </w:p>
    <w:p>
      <w:pPr>
        <w:tabs>
          <w:tab w:pos="490" w:val="left"/>
        </w:tabs>
        <w:spacing w:after="60"/>
        <w:ind w:left="490" w:hanging="490"/>
      </w:pPr>
      <w:r>
        <w:rPr>
          <w:b/>
        </w:rPr>
        <w:t>4.</w:t>
      </w:r>
      <w:r>
        <w:tab/>
      </w:r>
      <w:r>
        <w:rPr>
          <w:b w:val="0"/>
          <w:i w:val="0"/>
        </w:rPr>
        <w:t>аллергологом</w:t>
      </w:r>
    </w:p>
    <w:p>
      <w:pPr>
        <w:ind w:left="288"/>
      </w:pPr>
      <w:r>
        <w:rPr>
          <w:b/>
          <w:color w:val="173C49"/>
        </w:rPr>
        <w:t>Правильный ответ:</w:t>
      </w:r>
      <w:r>
        <w:br/>
      </w:r>
      <w:r>
        <w:rPr>
          <w:b/>
          <w:i w:val="0"/>
        </w:rPr>
        <w:t>2 - постурологом</w:t>
      </w:r>
    </w:p>
    <w:p>
      <w:pPr>
        <w:spacing w:after="58"/>
      </w:pPr>
      <w:r>
        <w:rPr>
          <w:b w:val="0"/>
          <w:i w:val="0"/>
        </w:rPr>
        <w:t>В случаях выраженного нарушения со стороны позвоночного отдела рекомендуется проводить коррекцию как зубочелюстной аномалии, так и вертебральных изменений совместно с врачом-постурологом.</w:t>
        <w:br/>
        <w:t>Ортодонтия. Диагностика и лечение зубочелюстно-лицевых аномалий и деформаций: учебник /Л.С. Персин [и др.]. - М.: ГЭОТАР-Медиа, 2015, С.133</w:t>
      </w:r>
    </w:p>
    <w:p>
      <w:pPr>
        <w:spacing w:after="58"/>
      </w:pPr>
      <w:r>
        <w:rPr>
          <w:b w:val="0"/>
          <w:i w:val="0"/>
        </w:rPr>
        <w:t>Ортодонтия. Диагностика и лечение зубочелюстно-лицевых аномалий и деформаций : учебник / Л. С. Персин и др. - Москва : ГЭОТАР-Медиа, 2015. - 640 с. - ISBN 978-5-9704-3227-3</w:t>
      </w:r>
    </w:p>
    <w:p>
      <w:pPr>
        <w:spacing w:after="58"/>
      </w:pPr>
      <w:hyperlink r:id="rId38">
        <w:r>
          <w:rPr>
            <w:color w:val="173C49"/>
            <w:u w:val="single"/>
          </w:rPr>
          <w:t xml:space="preserve">(1)</w:t>
        </w:r>
      </w:hyperlink>
    </w:p>
    <w:p>
      <w:pPr>
        <w:pStyle w:val="Heading3"/>
        <w:keepNext/>
      </w:pPr>
      <w:r>
        <w:rPr>
          <w:b/>
          <w:color w:val="173C49"/>
        </w:rPr>
        <w:t>Вопрос 11.</w:t>
      </w:r>
    </w:p>
    <w:p>
      <w:pPr>
        <w:keepNext/>
      </w:pPr>
      <w:r>
        <w:rPr>
          <w:b w:val="0"/>
          <w:i w:val="0"/>
        </w:rPr>
        <w:t>До начала фиксации брекет-системы необходимо выполнить</w:t>
      </w:r>
    </w:p>
    <w:p>
      <w:pPr>
        <w:tabs>
          <w:tab w:pos="490" w:val="left"/>
        </w:tabs>
        <w:spacing w:after="60"/>
        <w:ind w:left="490" w:hanging="490"/>
      </w:pPr>
      <w:r>
        <w:rPr>
          <w:b/>
        </w:rPr>
        <w:t>1.</w:t>
      </w:r>
      <w:r>
        <w:tab/>
      </w:r>
      <w:r>
        <w:rPr>
          <w:b w:val="0"/>
          <w:i w:val="0"/>
        </w:rPr>
        <w:t>фиксацию виниров</w:t>
      </w:r>
    </w:p>
    <w:p>
      <w:pPr>
        <w:tabs>
          <w:tab w:pos="490" w:val="left"/>
        </w:tabs>
        <w:spacing w:after="60"/>
        <w:ind w:left="490" w:hanging="490"/>
      </w:pPr>
      <w:r>
        <w:rPr>
          <w:b/>
        </w:rPr>
        <w:t>2.</w:t>
      </w:r>
      <w:r>
        <w:tab/>
      </w:r>
      <w:r>
        <w:rPr>
          <w:b w:val="0"/>
          <w:i w:val="0"/>
        </w:rPr>
        <w:t>фторпрофилактику</w:t>
      </w:r>
    </w:p>
    <w:p>
      <w:pPr>
        <w:tabs>
          <w:tab w:pos="490" w:val="left"/>
        </w:tabs>
        <w:spacing w:after="60"/>
        <w:ind w:left="490" w:hanging="490"/>
      </w:pPr>
      <w:r>
        <w:rPr>
          <w:b/>
        </w:rPr>
        <w:t>3.</w:t>
      </w:r>
      <w:r>
        <w:tab/>
      </w:r>
      <w:r>
        <w:rPr>
          <w:b w:val="0"/>
          <w:i w:val="0"/>
        </w:rPr>
        <w:t>отбеливание зубов</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санацию полости рта</w:t>
      </w:r>
    </w:p>
    <w:p>
      <w:pPr>
        <w:ind w:left="288"/>
      </w:pPr>
      <w:r>
        <w:rPr>
          <w:b/>
          <w:color w:val="173C49"/>
        </w:rPr>
        <w:t>Правильный ответ:</w:t>
      </w:r>
      <w:r>
        <w:br/>
      </w:r>
      <w:r>
        <w:rPr>
          <w:b/>
          <w:i w:val="0"/>
        </w:rPr>
        <w:t>4 - санацию полости рта</w:t>
      </w:r>
    </w:p>
    <w:p>
      <w:pPr>
        <w:spacing w:after="58"/>
      </w:pPr>
      <w:r>
        <w:rPr>
          <w:b w:val="0"/>
          <w:i w:val="0"/>
        </w:rPr>
        <w:t>Ортодонтическое лечение, как правило, занимает довольно длительное время, при этом увеличивается риск возникновения воспалительных заболеваний слизистой оболочки, пародонтальных тканей и кариозного поражения зубов.</w:t>
      </w:r>
    </w:p>
    <w:p>
      <w:pPr>
        <w:spacing w:after="58"/>
      </w:pPr>
      <w:r>
        <w:rPr>
          <w:b w:val="0"/>
          <w:i w:val="0"/>
        </w:rPr>
        <w:t>Ортодонтия. Диагностика и лечение зубочелюстно-лицевых аномалий и деформаций : учебник / Л. С. Персин и др. - Москва : ГЭОТАР-Медиа, 2015. - 640 с. - ISBN 978-5-9704-3227-3</w:t>
      </w:r>
    </w:p>
    <w:p>
      <w:pPr>
        <w:spacing w:after="58"/>
      </w:pPr>
      <w:hyperlink r:id="rId39">
        <w:r>
          <w:rPr>
            <w:color w:val="173C49"/>
            <w:u w:val="single"/>
          </w:rPr>
          <w:t xml:space="preserve">(1)</w:t>
        </w:r>
      </w:hyperlink>
    </w:p>
    <w:p>
      <w:pPr>
        <w:pStyle w:val="Heading2"/>
      </w:pPr>
      <w:r>
        <w:t>4. Вариатив</w:t>
      </w:r>
    </w:p>
    <w:p>
      <w:pPr>
        <w:pStyle w:val="Heading3"/>
        <w:keepNext/>
      </w:pPr>
      <w:r>
        <w:rPr>
          <w:b/>
          <w:color w:val="173C49"/>
        </w:rPr>
        <w:t>Вопрос 12.</w:t>
      </w:r>
    </w:p>
    <w:p>
      <w:pPr>
        <w:keepNext/>
      </w:pPr>
      <w:r>
        <w:rPr>
          <w:b w:val="0"/>
          <w:i w:val="0"/>
        </w:rPr>
        <w:t>Ведущим методом профилактики данной аномалии у детей является</w:t>
      </w:r>
    </w:p>
    <w:p>
      <w:pPr>
        <w:tabs>
          <w:tab w:pos="490" w:val="left"/>
        </w:tabs>
        <w:spacing w:after="60"/>
        <w:ind w:left="490" w:hanging="490"/>
      </w:pPr>
      <w:r>
        <w:rPr>
          <w:b/>
        </w:rPr>
        <w:t>1.</w:t>
      </w:r>
      <w:r>
        <w:tab/>
      </w:r>
      <w:r>
        <w:rPr>
          <w:b w:val="0"/>
          <w:i w:val="0"/>
        </w:rPr>
        <w:t>использование пластинки Кербитца</w:t>
      </w:r>
    </w:p>
    <w:p>
      <w:pPr>
        <w:tabs>
          <w:tab w:pos="490" w:val="left"/>
        </w:tabs>
        <w:spacing w:after="60"/>
        <w:ind w:left="490" w:hanging="490"/>
      </w:pPr>
      <w:r>
        <w:rPr>
          <w:b/>
        </w:rPr>
        <w:t>2.</w:t>
      </w:r>
      <w:r>
        <w:tab/>
      </w:r>
      <w:r>
        <w:rPr>
          <w:b w:val="0"/>
          <w:i w:val="0"/>
        </w:rPr>
        <w:t>использование пластинки Шонхера</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0"/>
                    <a:stretch>
                      <a:fillRect/>
                    </a:stretch>
                  </pic:blipFill>
                  <pic:spPr>
                    <a:xfrm>
                      <a:off x="0" y="0"/>
                      <a:ext cx="214884" cy="214884"/>
                    </a:xfrm>
                    <a:prstGeom prst="rect"/>
                  </pic:spPr>
                </pic:pic>
              </a:graphicData>
            </a:graphic>
          </wp:inline>
        </w:drawing>
      </w:r>
      <w:r>
        <w:tab/>
      </w:r>
      <w:r>
        <w:rPr>
          <w:b w:val="0"/>
          <w:i w:val="0"/>
        </w:rPr>
        <w:t>лечебная гимнастика</w:t>
      </w:r>
    </w:p>
    <w:p>
      <w:pPr>
        <w:tabs>
          <w:tab w:pos="490" w:val="left"/>
        </w:tabs>
        <w:spacing w:after="60"/>
        <w:ind w:left="490" w:hanging="490"/>
      </w:pPr>
      <w:r>
        <w:rPr>
          <w:b/>
        </w:rPr>
        <w:t>4.</w:t>
      </w:r>
      <w:r>
        <w:tab/>
      </w:r>
      <w:r>
        <w:rPr>
          <w:b w:val="0"/>
          <w:i w:val="0"/>
        </w:rPr>
        <w:t>вибромассаж</w:t>
      </w:r>
    </w:p>
    <w:p>
      <w:pPr>
        <w:ind w:left="288"/>
      </w:pPr>
      <w:r>
        <w:rPr>
          <w:b/>
          <w:color w:val="173C49"/>
        </w:rPr>
        <w:t>Правильный ответ:</w:t>
      </w:r>
      <w:r>
        <w:br/>
      </w:r>
      <w:r>
        <w:rPr>
          <w:b/>
          <w:i w:val="0"/>
        </w:rPr>
        <w:t>3 - лечебная гимнастика</w:t>
      </w:r>
    </w:p>
    <w:p>
      <w:pPr>
        <w:spacing w:after="58"/>
      </w:pPr>
      <w:r>
        <w:rPr>
          <w:b w:val="0"/>
          <w:i w:val="0"/>
        </w:rPr>
        <w:t>В осуществлении функций ЗЧС участвуют мышцы губ, щек, языка, мягкого нёба, а также все жевательные мышцы. В связи с этим нормализация их функций - первостепенная задача ортодонтического лечения и профилактики с целью облегчения достижения положительных результатов лечения и предупреждения рецидивов зубочелюстной аномалии. Одним из способов профилактики нарушений функций ЗЧС и их устранения является лечебная гимнастика.</w:t>
      </w:r>
    </w:p>
    <w:p>
      <w:pPr>
        <w:spacing w:after="58"/>
      </w:pPr>
      <w:r>
        <w:rPr>
          <w:b w:val="0"/>
          <w:i w:val="0"/>
        </w:rPr>
        <w:t>Ортодонтия. Диагностика и лечение зубочелюстно-лицевых аномалий и деформаций : учебник / Л. С. Персин и др. - Москва : ГЭОТАР-Медиа, 2015. - 640 с. - ISBN 978-5-9704-3227-3</w:t>
      </w:r>
    </w:p>
    <w:p>
      <w:pPr>
        <w:spacing w:after="58"/>
      </w:pPr>
      <w:hyperlink r:id="rId40">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Ортодонтия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jpg"/><Relationship Id="rId20" Type="http://schemas.openxmlformats.org/officeDocument/2006/relationships/image" Target="media/image5.jpg"/><Relationship Id="rId21" Type="http://schemas.openxmlformats.org/officeDocument/2006/relationships/image" Target="media/image6.jpg"/><Relationship Id="rId22" Type="http://schemas.openxmlformats.org/officeDocument/2006/relationships/image" Target="media/image7.jpg"/><Relationship Id="rId23" Type="http://schemas.openxmlformats.org/officeDocument/2006/relationships/image" Target="media/image8.jpg"/><Relationship Id="rId24" Type="http://schemas.openxmlformats.org/officeDocument/2006/relationships/image" Target="media/image9.jpg"/><Relationship Id="rId25" Type="http://schemas.openxmlformats.org/officeDocument/2006/relationships/image" Target="media/image10.png"/><Relationship Id="rId26" Type="http://schemas.openxmlformats.org/officeDocument/2006/relationships/hyperlink" Target="https://library.mededtech.ru/rest/documents/ISBN9785970454084/?anchor=paragraph_751srb#paragraph_751srb" TargetMode="External"/><Relationship Id="rId27" Type="http://schemas.openxmlformats.org/officeDocument/2006/relationships/image" Target="media/image11.png"/><Relationship Id="rId28" Type="http://schemas.openxmlformats.org/officeDocument/2006/relationships/hyperlink" Target="https://library.mededtech.ru/rest/documents/ISBN9785970454084/?anchor=paragraph_dmktve#paragraph_dmktve" TargetMode="External"/><Relationship Id="rId29" Type="http://schemas.openxmlformats.org/officeDocument/2006/relationships/hyperlink" Target="https://library.mededtech.ru/rest/documents/ISBN9785970454084/?anchor=paragraph_3c816q#paragraph_3c816q" TargetMode="External"/><Relationship Id="rId30" Type="http://schemas.openxmlformats.org/officeDocument/2006/relationships/image" Target="media/image12.png"/><Relationship Id="rId31" Type="http://schemas.openxmlformats.org/officeDocument/2006/relationships/hyperlink" Target="https://library.mededtech.ru/rest/documents/ISBN9785970454084/?anchor=paragraph_pt7bbo#paragraph_pt7bbo" TargetMode="External"/><Relationship Id="rId32" Type="http://schemas.openxmlformats.org/officeDocument/2006/relationships/hyperlink" Target="https://library.mededtech.ru/rest/documents/ISBN9785970454084/?anchor=list_item_i30gdf#list_item_i30gdf" TargetMode="External"/><Relationship Id="rId33" Type="http://schemas.openxmlformats.org/officeDocument/2006/relationships/hyperlink" Target="https://library.mededtech.ru/rest/documents/ISBN9785970454084/?anchor=paragraph_92r11d#paragraph_92r11d" TargetMode="External"/><Relationship Id="rId34" Type="http://schemas.openxmlformats.org/officeDocument/2006/relationships/hyperlink" Target="https://library.mededtech.ru/rest/documents/ISBN9785970454084/?anchor=list_item_heomhq#list_item_heomhq" TargetMode="External"/><Relationship Id="rId35" Type="http://schemas.openxmlformats.org/officeDocument/2006/relationships/hyperlink" Target="https://library.mededtech.ru/rest/documents/ISBN9785970432273/?anchor=paragraph_1kv5p5#paragraph_1kv5p5" TargetMode="External"/><Relationship Id="rId36" Type="http://schemas.openxmlformats.org/officeDocument/2006/relationships/hyperlink" Target="https://library.mededtech.ru/rest/documents/ISBN9785970454084/?anchor=list_item_2uudo1#list_item_2uudo1" TargetMode="External"/><Relationship Id="rId37" Type="http://schemas.openxmlformats.org/officeDocument/2006/relationships/image" Target="media/image13.png"/><Relationship Id="rId38" Type="http://schemas.openxmlformats.org/officeDocument/2006/relationships/hyperlink" Target="https://library.mededtech.ru/rest/documents/ISBN9785970432273/?anchor=list_item_8q5vsd#list_item_8q5vsd" TargetMode="External"/><Relationship Id="rId39" Type="http://schemas.openxmlformats.org/officeDocument/2006/relationships/hyperlink" Target="https://library.mededtech.ru/rest/documents/ISBN9785970432273/?anchor=paragraph_5jd773#paragraph_5jd773" TargetMode="External"/><Relationship Id="rId40" Type="http://schemas.openxmlformats.org/officeDocument/2006/relationships/hyperlink" Target="https://library.mededtech.ru/rest/documents/ISBN9785970432273/?anchor=paragraph_d2i3p7#paragraph_d2i3p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